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proofErr w:type="spellStart"/>
      <w:r w:rsidRPr="004579C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Paleografíja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(iz</w:t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hyperlink r:id="rId5" w:tooltip="Grščina" w:history="1">
        <w:r w:rsidRPr="004579CF">
          <w:rPr>
            <w:rFonts w:ascii="Arial" w:eastAsia="Times New Roman" w:hAnsi="Arial" w:cs="Arial"/>
            <w:color w:val="0645AD"/>
            <w:sz w:val="18"/>
            <w:u w:val="single"/>
            <w:lang w:eastAsia="sl-SI"/>
          </w:rPr>
          <w:t>grščine</w:t>
        </w:r>
      </w:hyperlink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proofErr w:type="spellStart"/>
      <w:r w:rsidRPr="004579CF">
        <w:rPr>
          <w:rFonts w:ascii="Arial" w:eastAsia="Times New Roman" w:hAnsi="Arial" w:cs="Arial"/>
          <w:i/>
          <w:iCs/>
          <w:color w:val="000000"/>
          <w:sz w:val="18"/>
          <w:szCs w:val="18"/>
          <w:lang w:eastAsia="sl-SI"/>
        </w:rPr>
        <w:t>palaios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, star +</w:t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proofErr w:type="spellStart"/>
      <w:r w:rsidRPr="004579CF">
        <w:rPr>
          <w:rFonts w:ascii="Arial" w:eastAsia="Times New Roman" w:hAnsi="Arial" w:cs="Arial"/>
          <w:i/>
          <w:iCs/>
          <w:color w:val="000000"/>
          <w:sz w:val="18"/>
          <w:szCs w:val="18"/>
          <w:lang w:eastAsia="sl-SI"/>
        </w:rPr>
        <w:t>graphe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, pisava) je</w:t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hyperlink r:id="rId6" w:tooltip="Pomožne zgodovinske vede" w:history="1">
        <w:r w:rsidRPr="004579CF">
          <w:rPr>
            <w:rFonts w:ascii="Arial" w:eastAsia="Times New Roman" w:hAnsi="Arial" w:cs="Arial"/>
            <w:color w:val="0B0080"/>
            <w:sz w:val="18"/>
            <w:u w:val="single"/>
            <w:lang w:eastAsia="sl-SI"/>
          </w:rPr>
          <w:t>pomožna zgodovinska veda</w:t>
        </w:r>
      </w:hyperlink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, ki se ukvarja s preučevanjem razvoja, širjenja in vrst</w:t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hyperlink r:id="rId7" w:tooltip="Pisava" w:history="1">
        <w:r w:rsidRPr="004579CF">
          <w:rPr>
            <w:rFonts w:ascii="Arial" w:eastAsia="Times New Roman" w:hAnsi="Arial" w:cs="Arial"/>
            <w:color w:val="0645AD"/>
            <w:sz w:val="18"/>
            <w:u w:val="single"/>
            <w:lang w:eastAsia="sl-SI"/>
          </w:rPr>
          <w:t>pisav</w:t>
        </w:r>
      </w:hyperlink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. Z razbiranjem zapisov se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ukvarja</w:t>
      </w:r>
      <w:hyperlink r:id="rId8" w:tooltip="Epigrafika" w:history="1">
        <w:r w:rsidRPr="004579CF">
          <w:rPr>
            <w:rFonts w:ascii="Arial" w:eastAsia="Times New Roman" w:hAnsi="Arial" w:cs="Arial"/>
            <w:color w:val="0645AD"/>
            <w:sz w:val="18"/>
            <w:u w:val="single"/>
            <w:lang w:eastAsia="sl-SI"/>
          </w:rPr>
          <w:t>epigrafika</w:t>
        </w:r>
        <w:proofErr w:type="spellEnd"/>
      </w:hyperlink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.</w:t>
      </w:r>
    </w:p>
    <w:p w:rsidR="004579CF" w:rsidRPr="004579CF" w:rsidRDefault="004579CF" w:rsidP="004579CF">
      <w:pPr>
        <w:numPr>
          <w:ilvl w:val="0"/>
          <w:numId w:val="1"/>
        </w:numPr>
        <w:spacing w:before="72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:rsidR="004579CF" w:rsidRPr="004579CF" w:rsidRDefault="004579CF" w:rsidP="004579CF">
      <w:pPr>
        <w:numPr>
          <w:ilvl w:val="1"/>
          <w:numId w:val="1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proofErr w:type="spellStart"/>
      <w:r w:rsidRPr="004579C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paleografija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ali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staropisemstvo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je veda o starih pisavah</w:t>
      </w:r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Beseda izhaja iz grškega jezika:</w:t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proofErr w:type="spellStart"/>
      <w:r w:rsidRPr="004579CF">
        <w:rPr>
          <w:rFonts w:ascii="Arial" w:eastAsia="Times New Roman" w:hAnsi="Arial" w:cs="Arial"/>
          <w:i/>
          <w:iCs/>
          <w:color w:val="000000"/>
          <w:sz w:val="18"/>
          <w:szCs w:val="18"/>
          <w:lang w:eastAsia="sl-SI"/>
        </w:rPr>
        <w:t>palaois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– star</w:t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proofErr w:type="spellStart"/>
      <w:r w:rsidRPr="004579CF">
        <w:rPr>
          <w:rFonts w:ascii="Arial" w:eastAsia="Times New Roman" w:hAnsi="Arial" w:cs="Arial"/>
          <w:i/>
          <w:iCs/>
          <w:color w:val="000000"/>
          <w:sz w:val="18"/>
          <w:szCs w:val="18"/>
          <w:lang w:eastAsia="sl-SI"/>
        </w:rPr>
        <w:t>graphe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– pisava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Paleografija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je pomožna zgodovinska veda, ki se ukvarja s proučevanjem starih pisav: proučuje nastanek pisave in njen razvoj proučuje branje, razumevanje in datiranje pisave razrešuje kratice in okrajšave ter druge posebnosti Poleg proučevanja pisave pa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paleografija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proučuje tudi zunanji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izgled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rokopisa (črnilo, ilustracije, vezavo,…).</w:t>
      </w:r>
    </w:p>
    <w:p w:rsidR="004579CF" w:rsidRPr="004579CF" w:rsidRDefault="004579CF" w:rsidP="004579CF">
      <w:pPr>
        <w:numPr>
          <w:ilvl w:val="0"/>
          <w:numId w:val="2"/>
        </w:numPr>
        <w:spacing w:before="72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:rsidR="004579CF" w:rsidRPr="004579CF" w:rsidRDefault="004579CF" w:rsidP="004579CF">
      <w:pPr>
        <w:numPr>
          <w:ilvl w:val="1"/>
          <w:numId w:val="2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pisava je zgodovinski izraz kulturnega in duhovnega življenja družbe, zato pravimo, da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paleografija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proučuje tudi kulturni in duhovni razvoj družbe ob tem, ko proučuje pisavo. Pri tem raziskovanju in proučevanju sta pomembna dva pristopa:</w:t>
      </w:r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**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pomožnozgodovinski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pristop ** kulturnozgodovinski pristop</w:t>
      </w:r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Poznamo toliko različnih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paleografij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kot poznamo različnih pisav (latinska, arabska, grška, …).</w:t>
      </w:r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Paleografija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je interdisciplinarna veda, ki se povezuje s številnimi drugimi vedami (zgodovina, umetnost, literatura, arhitektura, pravo,…).</w:t>
      </w:r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4579C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 xml:space="preserve">Zgodovina </w:t>
      </w:r>
      <w:proofErr w:type="spellStart"/>
      <w:r w:rsidRPr="004579C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paleografije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*** prva omemba – 1708</w:t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begin"/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instrText xml:space="preserve"> HYPERLINK "http://sl.wikipedia.org/w/index.php?title=Montefalcon&amp;action=edit&amp;redlink=1" \o "Montefalcon (stran ne obstaja)" </w:instrTex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separate"/>
      </w:r>
      <w:r w:rsidRPr="004579CF">
        <w:rPr>
          <w:rFonts w:ascii="Arial" w:eastAsia="Times New Roman" w:hAnsi="Arial" w:cs="Arial"/>
          <w:color w:val="CC2200"/>
          <w:sz w:val="18"/>
          <w:u w:val="single"/>
          <w:lang w:eastAsia="sl-SI"/>
        </w:rPr>
        <w:t>Montefalcon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end"/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r w:rsidRPr="004579C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2/2 15C</w:t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– pojav tiska (izgublja se znanje izdelave listin)</w:t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r w:rsidRPr="004579C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2/2 17C</w:t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– začetki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paleografije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so povezani s polemiko med jezuiti in benediktinci, iz katere je izšla znanstvena diskusija o začetkih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paleografije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.</w:t>
      </w:r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hyperlink r:id="rId9" w:tooltip="** jezuiti (stran ne obstaja)" w:history="1">
        <w:r w:rsidRPr="004579CF">
          <w:rPr>
            <w:rFonts w:ascii="Arial" w:eastAsia="Times New Roman" w:hAnsi="Arial" w:cs="Arial"/>
            <w:color w:val="CC2200"/>
            <w:sz w:val="18"/>
            <w:u w:val="single"/>
            <w:lang w:eastAsia="sl-SI"/>
          </w:rPr>
          <w:t>** jezuiti</w:t>
        </w:r>
      </w:hyperlink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~ 1643</w:t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begin"/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instrText xml:space="preserve"> HYPERLINK "http://sl.wikipedia.org/w/index.php?title=Bolland&amp;action=edit&amp;redlink=1" \o "Bolland (stran ne obstaja)" </w:instrTex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separate"/>
      </w:r>
      <w:r w:rsidRPr="004579CF">
        <w:rPr>
          <w:rFonts w:ascii="Arial" w:eastAsia="Times New Roman" w:hAnsi="Arial" w:cs="Arial"/>
          <w:color w:val="CC2200"/>
          <w:sz w:val="18"/>
          <w:u w:val="single"/>
          <w:lang w:eastAsia="sl-SI"/>
        </w:rPr>
        <w:t>Bolland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end"/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(izdajanje znanstveno kritičnih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vitae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– življenja svetnikov)</w:t>
      </w:r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~ 1675</w:t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begin"/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instrText xml:space="preserve"> HYPERLINK "http://sl.wikipedia.org/w/index.php?title=Papenbroeck&amp;action=edit&amp;redlink=1" \o "Papenbroeck (stran ne obstaja)" </w:instrTex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separate"/>
      </w:r>
      <w:r w:rsidRPr="004579CF">
        <w:rPr>
          <w:rFonts w:ascii="Arial" w:eastAsia="Times New Roman" w:hAnsi="Arial" w:cs="Arial"/>
          <w:color w:val="CC2200"/>
          <w:sz w:val="18"/>
          <w:u w:val="single"/>
          <w:lang w:eastAsia="sl-SI"/>
        </w:rPr>
        <w:t>Papenbroeck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end"/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(nadaljuje izdajo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vitae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). Napiše metodološko kritično študijo o kritiki virov, s katero poda naslednje ugotovitve:</w:t>
      </w:r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** kritičnost med zanesljivostjo in nezanesljivostjo</w:t>
      </w:r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** starost listine (starejša ko je, manj je zanesljiva)</w:t>
      </w:r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** večina vladarskih listin je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falsifikatov</w:t>
      </w:r>
      <w:proofErr w:type="spellEnd"/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hyperlink r:id="rId10" w:tooltip="** benediktinci (stran ne obstaja)" w:history="1">
        <w:r w:rsidRPr="004579CF">
          <w:rPr>
            <w:rFonts w:ascii="Arial" w:eastAsia="Times New Roman" w:hAnsi="Arial" w:cs="Arial"/>
            <w:color w:val="CC2200"/>
            <w:sz w:val="18"/>
            <w:u w:val="single"/>
            <w:lang w:eastAsia="sl-SI"/>
          </w:rPr>
          <w:t>** benediktinci</w:t>
        </w:r>
      </w:hyperlink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~ 1681</w:t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begin"/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instrText xml:space="preserve"> HYPERLINK "http://sl.wikipedia.org/w/index.php?title=Mabillon&amp;action=edit&amp;redlink=1" \o "Mabillon (stran ne obstaja)" </w:instrTex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separate"/>
      </w:r>
      <w:r w:rsidRPr="004579CF">
        <w:rPr>
          <w:rFonts w:ascii="Arial" w:eastAsia="Times New Roman" w:hAnsi="Arial" w:cs="Arial"/>
          <w:color w:val="CC2200"/>
          <w:sz w:val="18"/>
          <w:u w:val="single"/>
          <w:lang w:eastAsia="sl-SI"/>
        </w:rPr>
        <w:t>Mabillon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end"/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– »oče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paleografije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«</w:t>
      </w:r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Začetki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paleografije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so povezani z začetki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diplomatike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. Izda šest knjig o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diplomatiki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z metodologijo reševanja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diplomatičnih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vprašanj. Prvi sistematizira latinico, kar predstavlja začetek latinske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paleografije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.</w:t>
      </w:r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** loči med poslovno -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kurazivno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in knjižno pisavo</w:t>
      </w:r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** loči med pisavami antike in srednjega veka</w:t>
      </w:r>
    </w:p>
    <w:p w:rsidR="004579CF" w:rsidRPr="004579CF" w:rsidRDefault="004579CF" w:rsidP="004579CF">
      <w:pPr>
        <w:numPr>
          <w:ilvl w:val="0"/>
          <w:numId w:val="3"/>
        </w:numPr>
        <w:spacing w:before="72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:rsidR="004579CF" w:rsidRPr="004579CF" w:rsidRDefault="004579CF" w:rsidP="004579CF">
      <w:pPr>
        <w:numPr>
          <w:ilvl w:val="1"/>
          <w:numId w:val="3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NAPAČNO meni, da so nekatere nacionalne pisave zgodnjega srednjega veka produkt germanskih ljudstev.</w:t>
      </w:r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~ 1713</w:t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begin"/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instrText xml:space="preserve"> HYPERLINK "http://sl.wikipedia.org/w/index.php?title=Maffei&amp;action=edit&amp;redlink=1" \o "Maffei (stran ne obstaja)" </w:instrTex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separate"/>
      </w:r>
      <w:r w:rsidRPr="004579CF">
        <w:rPr>
          <w:rFonts w:ascii="Arial" w:eastAsia="Times New Roman" w:hAnsi="Arial" w:cs="Arial"/>
          <w:color w:val="CC2200"/>
          <w:sz w:val="18"/>
          <w:u w:val="single"/>
          <w:lang w:eastAsia="sl-SI"/>
        </w:rPr>
        <w:t>Maffei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end"/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– popravi napačno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Mabillonovo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idejo in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korogira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, da</w:t>
      </w:r>
    </w:p>
    <w:p w:rsidR="004579CF" w:rsidRPr="004579CF" w:rsidRDefault="004579CF" w:rsidP="004579CF">
      <w:pPr>
        <w:numPr>
          <w:ilvl w:val="0"/>
          <w:numId w:val="4"/>
        </w:numPr>
        <w:spacing w:before="72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:rsidR="004579CF" w:rsidRPr="004579CF" w:rsidRDefault="004579CF" w:rsidP="004579CF">
      <w:pPr>
        <w:numPr>
          <w:ilvl w:val="1"/>
          <w:numId w:val="4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nacionalne pisave niso produkt germanskih ljudstev, ampak da so nadaljevanje latinske pisave iz antike, ki jo je vsak narod razvijal na svoj način v treh zvrsteh (minuskula,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majuskula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in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kuraziva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).</w:t>
      </w:r>
    </w:p>
    <w:p w:rsidR="004579CF" w:rsidRPr="004579CF" w:rsidRDefault="004579CF" w:rsidP="004579CF">
      <w:pPr>
        <w:numPr>
          <w:ilvl w:val="0"/>
          <w:numId w:val="5"/>
        </w:numPr>
        <w:spacing w:before="72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:rsidR="004579CF" w:rsidRPr="004579CF" w:rsidRDefault="004579CF" w:rsidP="004579CF">
      <w:pPr>
        <w:numPr>
          <w:ilvl w:val="1"/>
          <w:numId w:val="5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originalno obstaja le ena pisava, to je latinica</w:t>
      </w:r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2/2 18C</w:t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–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paleografija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pride na univerze (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Gissen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,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Gottingen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,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Strassbourg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)</w:t>
      </w:r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~</w:t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begin"/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instrText xml:space="preserve"> HYPERLINK "http://sl.wikipedia.org/w/index.php?title=Galterer&amp;action=edit&amp;redlink=1" \o "Galterer (stran ne obstaja)" </w:instrTex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separate"/>
      </w:r>
      <w:r w:rsidRPr="004579CF">
        <w:rPr>
          <w:rFonts w:ascii="Arial" w:eastAsia="Times New Roman" w:hAnsi="Arial" w:cs="Arial"/>
          <w:color w:val="CC2200"/>
          <w:sz w:val="18"/>
          <w:u w:val="single"/>
          <w:lang w:eastAsia="sl-SI"/>
        </w:rPr>
        <w:t>Galterer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end"/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z univerze v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Gottingu</w:t>
      </w:r>
      <w:proofErr w:type="spellEnd"/>
    </w:p>
    <w:p w:rsidR="004579CF" w:rsidRPr="004579CF" w:rsidRDefault="004579CF" w:rsidP="004579CF">
      <w:pPr>
        <w:numPr>
          <w:ilvl w:val="0"/>
          <w:numId w:val="6"/>
        </w:numPr>
        <w:spacing w:before="72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:rsidR="004579CF" w:rsidRPr="004579CF" w:rsidRDefault="004579CF" w:rsidP="004579CF">
      <w:pPr>
        <w:numPr>
          <w:ilvl w:val="1"/>
          <w:numId w:val="6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osnoval prvo zbirko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faksimil</w:t>
      </w:r>
      <w:proofErr w:type="spellEnd"/>
    </w:p>
    <w:p w:rsidR="004579CF" w:rsidRPr="004579CF" w:rsidRDefault="004579CF" w:rsidP="004579CF">
      <w:pPr>
        <w:numPr>
          <w:ilvl w:val="1"/>
          <w:numId w:val="6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ločil je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paleografijo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od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diplomatike</w:t>
      </w:r>
      <w:proofErr w:type="spellEnd"/>
    </w:p>
    <w:p w:rsidR="004579CF" w:rsidRPr="004579CF" w:rsidRDefault="004579CF" w:rsidP="004579CF">
      <w:pPr>
        <w:numPr>
          <w:ilvl w:val="1"/>
          <w:numId w:val="6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pisave pa razdelil na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minuskulne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in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majuskulne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(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majuskulo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delo na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unicijalo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in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kapitalo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, minuskulo pa na pokončno in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kurazivno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).</w:t>
      </w:r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4579C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19C</w:t>
      </w:r>
      <w:r w:rsidRPr="004579CF">
        <w:rPr>
          <w:rFonts w:ascii="Arial" w:eastAsia="Times New Roman" w:hAnsi="Arial" w:cs="Arial"/>
          <w:color w:val="000000"/>
          <w:sz w:val="18"/>
          <w:lang w:eastAsia="sl-SI"/>
        </w:rPr>
        <w:t> </w:t>
      </w: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– klasična doba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paleografije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in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diplomatike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~ ustanavljajo se specialne šole (Pariz, Vatikan, Firence, Oxford,…)</w:t>
      </w:r>
    </w:p>
    <w:p w:rsidR="004579CF" w:rsidRPr="004579CF" w:rsidRDefault="004579CF" w:rsidP="004579CF">
      <w:pPr>
        <w:spacing w:before="96" w:after="120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proofErr w:type="spellStart"/>
      <w:r w:rsidRPr="004579C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Paleografija</w:t>
      </w:r>
      <w:proofErr w:type="spellEnd"/>
      <w:r w:rsidRPr="004579CF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 xml:space="preserve"> pri nas:</w:t>
      </w:r>
    </w:p>
    <w:p w:rsidR="004579CF" w:rsidRPr="004579CF" w:rsidRDefault="004579CF" w:rsidP="004579CF">
      <w:pPr>
        <w:numPr>
          <w:ilvl w:val="0"/>
          <w:numId w:val="7"/>
        </w:numPr>
        <w:spacing w:before="72" w:line="360" w:lineRule="atLeast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:rsidR="004579CF" w:rsidRPr="004579CF" w:rsidRDefault="004579CF" w:rsidP="004579CF">
      <w:pPr>
        <w:numPr>
          <w:ilvl w:val="1"/>
          <w:numId w:val="7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ni bogate tradicije, saj se zgodovinopisje začne razvijati šele v 2/2 19C (Franc Kos).</w:t>
      </w:r>
    </w:p>
    <w:p w:rsidR="004579CF" w:rsidRPr="004579CF" w:rsidRDefault="004579CF" w:rsidP="004579CF">
      <w:pPr>
        <w:numPr>
          <w:ilvl w:val="1"/>
          <w:numId w:val="7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Milko Kos – srednjeveški rokopisi v slovenščini 1931,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paleografska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analiza Brižinskih spomenikov</w:t>
      </w:r>
    </w:p>
    <w:p w:rsidR="004579CF" w:rsidRPr="004579CF" w:rsidRDefault="004579CF" w:rsidP="004579CF">
      <w:pPr>
        <w:numPr>
          <w:ilvl w:val="1"/>
          <w:numId w:val="7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Nataša Golob – Stiški rokopisi iz 12C</w:t>
      </w:r>
    </w:p>
    <w:p w:rsidR="004579CF" w:rsidRPr="004579CF" w:rsidRDefault="004579CF" w:rsidP="004579CF">
      <w:pPr>
        <w:numPr>
          <w:ilvl w:val="1"/>
          <w:numId w:val="7"/>
        </w:numPr>
        <w:spacing w:before="100" w:beforeAutospacing="1" w:after="24" w:line="360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Gregor </w:t>
      </w:r>
      <w:proofErr w:type="spellStart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Čremošnik</w:t>
      </w:r>
      <w:proofErr w:type="spellEnd"/>
      <w:r w:rsidRPr="004579CF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– predela bosansko in srbsko zgodovino</w:t>
      </w:r>
    </w:p>
    <w:p w:rsidR="00A00110" w:rsidRDefault="00A00110"/>
    <w:sectPr w:rsidR="00A00110" w:rsidSect="00A0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54BF8"/>
    <w:multiLevelType w:val="multilevel"/>
    <w:tmpl w:val="531E1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4305F"/>
    <w:multiLevelType w:val="multilevel"/>
    <w:tmpl w:val="ED405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0377C"/>
    <w:multiLevelType w:val="multilevel"/>
    <w:tmpl w:val="A1BAD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B7A97"/>
    <w:multiLevelType w:val="multilevel"/>
    <w:tmpl w:val="69E4E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5C030F"/>
    <w:multiLevelType w:val="multilevel"/>
    <w:tmpl w:val="31283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CE3A20"/>
    <w:multiLevelType w:val="multilevel"/>
    <w:tmpl w:val="BA68B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A6231"/>
    <w:multiLevelType w:val="multilevel"/>
    <w:tmpl w:val="96FCD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579CF"/>
    <w:rsid w:val="000A343B"/>
    <w:rsid w:val="004579CF"/>
    <w:rsid w:val="00817739"/>
    <w:rsid w:val="00A00110"/>
    <w:rsid w:val="00E4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01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579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4579CF"/>
  </w:style>
  <w:style w:type="character" w:styleId="Hiperpovezava">
    <w:name w:val="Hyperlink"/>
    <w:basedOn w:val="Privzetapisavaodstavka"/>
    <w:uiPriority w:val="99"/>
    <w:semiHidden/>
    <w:unhideWhenUsed/>
    <w:rsid w:val="00457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Epigraf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.wikipedia.org/wiki/Pisa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.wikipedia.org/wiki/Pomo%C5%BEne_zgodovinske_ve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l.wikipedia.org/wiki/Gr%C5%A1%C4%8Dina" TargetMode="External"/><Relationship Id="rId10" Type="http://schemas.openxmlformats.org/officeDocument/2006/relationships/hyperlink" Target="http://sl.wikipedia.org/w/index.php?title=**_benediktinci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/index.php?title=**_jezuiti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2</cp:revision>
  <dcterms:created xsi:type="dcterms:W3CDTF">2010-08-19T04:42:00Z</dcterms:created>
  <dcterms:modified xsi:type="dcterms:W3CDTF">2010-08-19T05:15:00Z</dcterms:modified>
</cp:coreProperties>
</file>